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C9901A"/>
          <w:spacing w:val="120"/>
          <w:sz w:val="18"/>
          <w:szCs w:val="18"/>
        </w:rPr>
        <w:t xml:space="preserve">FRAMEWORK — AP/AR &amp; FINTECH CS</w:t>
      </w:r>
    </w:p>
    <w:p>
      <w:pPr>
        <w:pStyle w:val="Heading1"/>
        <w:spacing w:after="160" w:before="120"/>
      </w:pPr>
      <w:r>
        <w:rPr>
          <w:rFonts w:ascii="Arial" w:cs="Arial" w:eastAsia="Arial" w:hAnsi="Arial"/>
          <w:b/>
          <w:bCs/>
          <w:color w:val="1A1210"/>
          <w:sz w:val="40"/>
          <w:szCs w:val="40"/>
        </w:rPr>
        <w:t xml:space="preserve">Escalation by Design: CS in Regulated Financial Systems</w:t>
      </w:r>
    </w:p>
    <w:p>
      <w:pPr>
        <w:spacing w:after="280" w:before="0"/>
      </w:pPr>
      <w:r>
        <w:rPr>
          <w:rFonts w:ascii="Arial" w:cs="Arial" w:eastAsia="Arial" w:hAnsi="Arial"/>
          <w:color w:val="7A6E66"/>
          <w:sz w:val="22"/>
          <w:szCs w:val="22"/>
        </w:rPr>
        <w:t xml:space="preserve">A structured support and success framework for AP/AR, payment processing, and fintech environments — built around tiered escalation, compliance-aware response protocols, and the unique trust dynamics of regulated financial products.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A6E66"/>
                <w:spacing w:val="60"/>
                <w:sz w:val="16"/>
                <w:szCs w:val="16"/>
              </w:rPr>
              <w:t xml:space="preserve">DOMAIN</w:t>
            </w:r>
          </w:p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AP/AR · Payments · Fintech SaaS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A6E66"/>
                <w:spacing w:val="60"/>
                <w:sz w:val="16"/>
                <w:szCs w:val="16"/>
              </w:rPr>
              <w:t xml:space="preserve">FRAMEWORK TYPE</w:t>
            </w:r>
          </w:p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Escalation &amp; Support Tiering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A6E66"/>
                <w:spacing w:val="60"/>
                <w:sz w:val="16"/>
                <w:szCs w:val="16"/>
              </w:rPr>
              <w:t xml:space="preserve">REGULATORY CONTEXT</w:t>
            </w:r>
          </w:p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PCI-DSS · SOX · NACHA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7A6E66"/>
                <w:spacing w:val="60"/>
                <w:sz w:val="16"/>
                <w:szCs w:val="16"/>
              </w:rPr>
              <w:t xml:space="preserve">LAST UPDATED</w:t>
            </w:r>
          </w:p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April 2026</w:t>
            </w:r>
          </w:p>
        </w:tc>
      </w:tr>
    </w:tbl>
    <w:p>
      <w:pPr>
        <w:spacing w:after="160" w:before="0"/>
      </w:pPr>
    </w:p>
    <w:p>
      <w:pPr>
        <w:spacing w:after="80" w:before="360"/>
      </w:pPr>
      <w:r>
        <w:rPr>
          <w:rFonts w:ascii="Arial" w:cs="Arial" w:eastAsia="Arial" w:hAnsi="Arial"/>
          <w:b/>
          <w:bCs/>
          <w:color w:val="4A6FA5"/>
          <w:spacing w:val="80"/>
          <w:sz w:val="18"/>
          <w:szCs w:val="18"/>
        </w:rPr>
        <w:t xml:space="preserve">01 — CONTEXT</w:t>
      </w:r>
    </w:p>
    <w:p>
      <w:pPr>
        <w:pStyle w:val="Heading2"/>
        <w:spacing w:after="160" w:before="120"/>
      </w:pPr>
      <w:r>
        <w:rPr>
          <w:rFonts w:ascii="Arial" w:cs="Arial" w:eastAsia="Arial" w:hAnsi="Arial"/>
          <w:b/>
          <w:bCs/>
          <w:color w:val="1A1210"/>
          <w:sz w:val="28"/>
          <w:szCs w:val="28"/>
        </w:rPr>
        <w:t xml:space="preserve">Why Financial Operations CS Can't Run on Standard Playbooks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single" w:color="4A6FA5" w:sz="12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pPr>
              <w:spacing w:after="120" w:before="0"/>
            </w:pPr>
            <w:r>
              <w:rPr>
                <w:rFonts w:ascii="Arial" w:cs="Arial" w:eastAsia="Arial" w:hAnsi="Arial"/>
                <w:i w:val="false"/>
                <w:iCs w:val="false"/>
                <w:color w:val="1A1210"/>
                <w:sz w:val="22"/>
                <w:szCs w:val="22"/>
              </w:rPr>
              <w:t xml:space="preserve">When a CRM goes down, users are frustrated. When an AP automation platform goes down, vendors don't get paid — and depending on the timing, that can cascade into audit exceptions, breach-of-contract exposure, or regulatory reporting failures. The stakes are categorically different.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 w:val="false"/>
                <w:iCs w:val="false"/>
                <w:color w:val="1A1210"/>
                <w:sz w:val="22"/>
                <w:szCs w:val="22"/>
              </w:rPr>
              <w:t xml:space="preserve">CS teams in fintech and financial operations inherit this pressure whether they asked for it or not. Every escalation carries implicit compliance weight. Every response timeline creates a paper trail. Customer trust is not just a satisfaction metric — it's the product.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 w:val="false"/>
                <w:iCs w:val="false"/>
                <w:color w:val="1A1210"/>
                <w:sz w:val="22"/>
                <w:szCs w:val="22"/>
              </w:rPr>
              <w:t xml:space="preserve">This framework operationalizes that reality: tiered escalation logic, regulated-environment SLAs, cross-functional handoff protocols, and the communication standards required when money is on the line.</w:t>
            </w:r>
          </w:p>
        </w:tc>
      </w:tr>
    </w:tbl>
    <w:p>
      <w:pPr>
        <w:spacing w:after="160" w:before="0"/>
      </w:pPr>
    </w:p>
    <w:p>
      <w:pPr>
        <w:spacing w:after="80" w:before="360"/>
      </w:pPr>
      <w:r>
        <w:rPr>
          <w:rFonts w:ascii="Arial" w:cs="Arial" w:eastAsia="Arial" w:hAnsi="Arial"/>
          <w:b/>
          <w:bCs/>
          <w:color w:val="4A6FA5"/>
          <w:spacing w:val="80"/>
          <w:sz w:val="18"/>
          <w:szCs w:val="18"/>
        </w:rPr>
        <w:t xml:space="preserve">02 — CORE FRAMEWORK</w:t>
      </w:r>
    </w:p>
    <w:p>
      <w:pPr>
        <w:pStyle w:val="Heading2"/>
        <w:spacing w:after="160" w:before="120"/>
      </w:pPr>
      <w:r>
        <w:rPr>
          <w:rFonts w:ascii="Arial" w:cs="Arial" w:eastAsia="Arial" w:hAnsi="Arial"/>
          <w:b/>
          <w:bCs/>
          <w:color w:val="1A1210"/>
          <w:sz w:val="28"/>
          <w:szCs w:val="28"/>
        </w:rPr>
        <w:t xml:space="preserve">Four-Tier Escalation Model</w:t>
      </w:r>
    </w:p>
    <w:p>
      <w:pPr>
        <w:spacing w:after="120" w:before="0"/>
      </w:pPr>
      <w:r>
        <w:rPr>
          <w:rFonts w:ascii="Arial" w:cs="Arial" w:eastAsia="Arial" w:hAnsi="Arial"/>
          <w:i w:val="false"/>
          <w:iCs w:val="false"/>
          <w:color w:val="7A6E66"/>
          <w:sz w:val="22"/>
          <w:szCs w:val="22"/>
        </w:rPr>
        <w:t xml:space="preserve">Tiers are defined by business impact severity, not just product functionality. A "minor" bug in a payments system is rarely minor.</w:t>
      </w:r>
    </w:p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120"/>
        </w:tblCellMar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6F1" w:val="clear"/>
            <w:tcMar>
              <w:top w:type="dxa" w:w="160"/>
              <w:left w:type="dxa" w:w="160"/>
              <w:bottom w:type="dxa" w:w="1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D7A50"/>
                <w:sz w:val="48"/>
                <w:szCs w:val="48"/>
              </w:rPr>
              <w:t xml:space="preserve">01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6F1" w:val="clear"/>
            <w:tcMar>
              <w:top w:type="dxa" w:w="160"/>
              <w:left w:type="dxa" w:w="80"/>
              <w:bottom w:type="dxa" w:w="16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D7A50"/>
                <w:spacing w:val="60"/>
                <w:sz w:val="18"/>
                <w:szCs w:val="18"/>
              </w:rPr>
              <w:t xml:space="preserve">TIER 1 — ROUTINE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1210"/>
                <w:sz w:val="24"/>
                <w:szCs w:val="24"/>
              </w:rPr>
              <w:t xml:space="preserve">Standard Support Queue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7A6E66"/>
                <w:sz w:val="20"/>
                <w:szCs w:val="20"/>
              </w:rPr>
              <w:t xml:space="preserve">General how-to questions, UI confusion, user access issues, non-payment-impacting configuration help. Handled by CSM or front-line support without escalation.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No transaction processing impact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No compliance or audit implications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Single user / non-systemic scope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SLA: Response within 4 business hours, resolve within 2 business days</w:t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120"/>
        </w:tblCellMar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6F1" w:val="clear"/>
            <w:tcMar>
              <w:top w:type="dxa" w:w="160"/>
              <w:left w:type="dxa" w:w="160"/>
              <w:bottom w:type="dxa" w:w="1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48"/>
                <w:szCs w:val="48"/>
              </w:rPr>
              <w:t xml:space="preserve">02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6F1" w:val="clear"/>
            <w:tcMar>
              <w:top w:type="dxa" w:w="160"/>
              <w:left w:type="dxa" w:w="80"/>
              <w:bottom w:type="dxa" w:w="16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9901A"/>
                <w:spacing w:val="60"/>
                <w:sz w:val="18"/>
                <w:szCs w:val="18"/>
              </w:rPr>
              <w:t xml:space="preserve">TIER 2 — ELEVATED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1210"/>
                <w:sz w:val="24"/>
                <w:szCs w:val="24"/>
              </w:rPr>
              <w:t xml:space="preserve">Business-Impact Issue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7A6E66"/>
                <w:sz w:val="20"/>
                <w:szCs w:val="20"/>
              </w:rPr>
              <w:t xml:space="preserve">Payment runs delayed, reconciliation discrepancies, approval workflow failures, integration errors with ERP or banking connectors. CSM owns response; engineering loop opened.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Active or imminent payment processing disruption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Reconciliation data integrity questions raised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Multi-user or batch-level scope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SLA: Acknowledge within 1 hour, active triage within 4 hours</w:t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120"/>
        </w:tblCellMar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6F1" w:val="clear"/>
            <w:tcMar>
              <w:top w:type="dxa" w:w="160"/>
              <w:left w:type="dxa" w:w="160"/>
              <w:bottom w:type="dxa" w:w="1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C0392B"/>
                <w:sz w:val="48"/>
                <w:szCs w:val="48"/>
              </w:rPr>
              <w:t xml:space="preserve">03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6F1" w:val="clear"/>
            <w:tcMar>
              <w:top w:type="dxa" w:w="160"/>
              <w:left w:type="dxa" w:w="80"/>
              <w:bottom w:type="dxa" w:w="16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0392B"/>
                <w:spacing w:val="60"/>
                <w:sz w:val="18"/>
                <w:szCs w:val="18"/>
              </w:rPr>
              <w:t xml:space="preserve">TIER 3 — CRITICAL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1210"/>
                <w:sz w:val="24"/>
                <w:szCs w:val="24"/>
              </w:rPr>
              <w:t xml:space="preserve">Compliance or Financial Exposure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7A6E66"/>
                <w:sz w:val="20"/>
                <w:szCs w:val="20"/>
              </w:rPr>
              <w:t xml:space="preserve">Failed ACH/wire processing, duplicate payments posted, data exposure incident, SOX-relevant record integrity failure. Immediate cross-functional bridge: CS, Engineering, Legal/Compliance, Finance.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Funds movement errors (duplicate, failed, misdirected)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Audit trail gaps or data integrity failure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Potential regulatory reporting implications (NACHA, SOX)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SLA: Bridge call within 30 minutes. Executive sponsor notified. Vendor POC engaged.</w:t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bottom w:type="dxa" w:w="120"/>
        </w:tblCellMar>
      </w:tblPr>
      <w:tblGrid>
        <w:gridCol w:w="1080"/>
        <w:gridCol w:w="8280"/>
      </w:tblGrid>
      <w:tr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6F1" w:val="clear"/>
            <w:tcMar>
              <w:top w:type="dxa" w:w="160"/>
              <w:left w:type="dxa" w:w="160"/>
              <w:bottom w:type="dxa" w:w="1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7B3FBF"/>
                <w:sz w:val="48"/>
                <w:szCs w:val="48"/>
              </w:rPr>
              <w:t xml:space="preserve">04</w:t>
            </w:r>
          </w:p>
        </w:tc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9F6F1" w:val="clear"/>
            <w:tcMar>
              <w:top w:type="dxa" w:w="160"/>
              <w:left w:type="dxa" w:w="80"/>
              <w:bottom w:type="dxa" w:w="16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7B3FBF"/>
                <w:spacing w:val="60"/>
                <w:sz w:val="18"/>
                <w:szCs w:val="18"/>
              </w:rPr>
              <w:t xml:space="preserve">TIER 4 — SYSTEMIC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1210"/>
                <w:sz w:val="24"/>
                <w:szCs w:val="24"/>
              </w:rPr>
              <w:t xml:space="preserve">Platform-Wide or Security Incident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color w:val="7A6E66"/>
                <w:sz w:val="20"/>
                <w:szCs w:val="20"/>
              </w:rPr>
              <w:t xml:space="preserve">Outage affecting all customers, security breach or suspected data exfiltration, PCI-DSS scope incident. Incident response protocol supersedes CS workflow. CSM role: communication coordination and customer-facing liaison.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Multi-tenant platform failure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Suspected or confirmed security incident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PCI-DSS scope triggered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A1210"/>
                <w:sz w:val="20"/>
                <w:szCs w:val="20"/>
              </w:rPr>
              <w:t xml:space="preserve">SLA: Incident commander designated within 15 min. Status page activated. Proactive outreach to impacted accounts within 30 min.</w:t>
            </w:r>
          </w:p>
        </w:tc>
      </w:tr>
    </w:tbl>
    <w:p>
      <w:pPr>
        <w:spacing w:after="160" w:before="0"/>
      </w:pPr>
    </w:p>
    <w:p>
      <w:pPr>
        <w:spacing w:after="80" w:before="360"/>
      </w:pPr>
      <w:r>
        <w:rPr>
          <w:rFonts w:ascii="Arial" w:cs="Arial" w:eastAsia="Arial" w:hAnsi="Arial"/>
          <w:b/>
          <w:bCs/>
          <w:color w:val="4A6FA5"/>
          <w:spacing w:val="80"/>
          <w:sz w:val="18"/>
          <w:szCs w:val="18"/>
        </w:rPr>
        <w:t xml:space="preserve">03 — DETECTION</w:t>
      </w:r>
    </w:p>
    <w:p>
      <w:pPr>
        <w:pStyle w:val="Heading2"/>
        <w:spacing w:after="160" w:before="120"/>
      </w:pPr>
      <w:r>
        <w:rPr>
          <w:rFonts w:ascii="Arial" w:cs="Arial" w:eastAsia="Arial" w:hAnsi="Arial"/>
          <w:b/>
          <w:bCs/>
          <w:color w:val="1A1210"/>
          <w:sz w:val="28"/>
          <w:szCs w:val="28"/>
        </w:rPr>
        <w:t xml:space="preserve">Escalation Signal Matrix</w:t>
      </w:r>
    </w:p>
    <w:p>
      <w:pPr>
        <w:spacing w:after="120" w:before="0"/>
      </w:pPr>
      <w:r>
        <w:rPr>
          <w:rFonts w:ascii="Arial" w:cs="Arial" w:eastAsia="Arial" w:hAnsi="Arial"/>
          <w:i w:val="false"/>
          <w:iCs w:val="false"/>
          <w:color w:val="7A6E66"/>
          <w:sz w:val="22"/>
          <w:szCs w:val="22"/>
        </w:rPr>
        <w:t xml:space="preserve">Knowing when to escalate is half the battle. These signals map observed behaviors and system events to the appropriate tier — before the customer tells you there's a problem.</w:t>
      </w:r>
    </w:p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shd w:fill="2A1F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5F0E8"/>
                <w:spacing w:val="60"/>
                <w:sz w:val="18"/>
                <w:szCs w:val="18"/>
              </w:rPr>
              <w:t xml:space="preserve">SIGNAL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shd w:fill="2A1F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5F0E8"/>
                <w:spacing w:val="60"/>
                <w:sz w:val="18"/>
                <w:szCs w:val="18"/>
              </w:rPr>
              <w:t xml:space="preserve">SOURCE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shd w:fill="2A1F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5F0E8"/>
                <w:spacing w:val="60"/>
                <w:sz w:val="18"/>
                <w:szCs w:val="18"/>
              </w:rPr>
              <w:t xml:space="preserve">TIER TRIGGER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shd w:fill="2A1F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5F0E8"/>
                <w:spacing w:val="60"/>
                <w:sz w:val="18"/>
                <w:szCs w:val="18"/>
              </w:rPr>
              <w:t xml:space="preserve">CSM ACTION</w:t>
            </w:r>
          </w:p>
        </w:tc>
      </w:tr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210"/>
                <w:sz w:val="20"/>
                <w:szCs w:val="20"/>
              </w:rPr>
              <w:t xml:space="preserve">Payment run not initiated by scheduled time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Platform monitoring / customer report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C9901A"/>
                <w:sz w:val="20"/>
                <w:szCs w:val="20"/>
              </w:rPr>
              <w:t xml:space="preserve">T2 — Elevated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Proactive outreach. Confirm scope, open engineering ticket, set update cadence.</w:t>
            </w:r>
          </w:p>
        </w:tc>
      </w:tr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210"/>
                <w:sz w:val="20"/>
                <w:szCs w:val="20"/>
              </w:rPr>
              <w:t xml:space="preserve">Reconciliation variance flagged by customer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Customer ticket / QBR review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C0392B"/>
                <w:sz w:val="20"/>
                <w:szCs w:val="20"/>
              </w:rPr>
              <w:t xml:space="preserve">T2–T3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Request sample data. Do not dismiss as user error. Loop in data/finance team.</w:t>
            </w:r>
          </w:p>
        </w:tc>
      </w:tr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210"/>
                <w:sz w:val="20"/>
                <w:szCs w:val="20"/>
              </w:rPr>
              <w:t xml:space="preserve">Duplicate payment confirmed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Customer AP team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C0392B"/>
                <w:sz w:val="20"/>
                <w:szCs w:val="20"/>
              </w:rPr>
              <w:t xml:space="preserve">T3 — Critical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Immediate bridge. Engage Finance, Legal, and Engineering. Document everything.</w:t>
            </w:r>
          </w:p>
        </w:tc>
      </w:tr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210"/>
                <w:sz w:val="20"/>
                <w:szCs w:val="20"/>
              </w:rPr>
              <w:t xml:space="preserve">ACH return code spike (R02, R03, R04 cluster)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Payment processor / internal monitoring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C0392B"/>
                <w:sz w:val="20"/>
                <w:szCs w:val="20"/>
              </w:rPr>
              <w:t xml:space="preserve">T2–T3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Cross-reference with NACHA return reason codes. Engage compliance if systemic.</w:t>
            </w:r>
          </w:p>
        </w:tc>
      </w:tr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210"/>
                <w:sz w:val="20"/>
                <w:szCs w:val="20"/>
              </w:rPr>
              <w:t xml:space="preserve">Unusual login pattern or permission escalation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Security monitoring / SIEM alert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C0392B"/>
                <w:sz w:val="20"/>
                <w:szCs w:val="20"/>
              </w:rPr>
              <w:t xml:space="preserve">T3–T4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Escalate to security team immediately. Do not investigate independently. Notify customer POC.</w:t>
            </w:r>
          </w:p>
        </w:tc>
      </w:tr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210"/>
                <w:sz w:val="20"/>
                <w:szCs w:val="20"/>
              </w:rPr>
              <w:t xml:space="preserve">Audit support request ahead of period close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Customer CFO/Controller outreach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C9901A"/>
                <w:sz w:val="20"/>
                <w:szCs w:val="20"/>
              </w:rPr>
              <w:t xml:space="preserve">T1–T2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Confirm scope of audit. Pre-stage export documentation. Assign dedicated support window.</w:t>
            </w:r>
          </w:p>
        </w:tc>
      </w:tr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210"/>
                <w:sz w:val="20"/>
                <w:szCs w:val="20"/>
              </w:rPr>
              <w:t xml:space="preserve">Vendor threatening legal action over non-payment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Customer escalation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C0392B"/>
                <w:sz w:val="20"/>
                <w:szCs w:val="20"/>
              </w:rPr>
              <w:t xml:space="preserve">T3 — Critical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Do not provide root cause until reviewed by Legal. Acknowledge, hold, loop in CS leadership.</w:t>
            </w:r>
          </w:p>
        </w:tc>
      </w:tr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210"/>
                <w:sz w:val="20"/>
                <w:szCs w:val="20"/>
              </w:rPr>
              <w:t xml:space="preserve">Integration failure with ERP (NetSuite, SAP, etc.)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Error log / customer report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C9901A"/>
                <w:sz w:val="20"/>
                <w:szCs w:val="20"/>
              </w:rPr>
              <w:t xml:space="preserve">T2 — Elevated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7A6E66"/>
                <w:sz w:val="20"/>
                <w:szCs w:val="20"/>
              </w:rPr>
              <w:t xml:space="preserve">Capture API error code. Coordinate with integration engineering. Set sync verification checkpoint.</w:t>
            </w:r>
          </w:p>
        </w:tc>
      </w:tr>
    </w:tbl>
    <w:p>
      <w:pPr>
        <w:spacing w:after="160" w:before="0"/>
      </w:pPr>
    </w:p>
    <w:p>
      <w:pPr>
        <w:spacing w:after="80" w:before="360"/>
      </w:pPr>
      <w:r>
        <w:rPr>
          <w:rFonts w:ascii="Arial" w:cs="Arial" w:eastAsia="Arial" w:hAnsi="Arial"/>
          <w:b/>
          <w:bCs/>
          <w:color w:val="4A6FA5"/>
          <w:spacing w:val="80"/>
          <w:sz w:val="18"/>
          <w:szCs w:val="18"/>
        </w:rPr>
        <w:t xml:space="preserve">04 — PROTOCOL</w:t>
      </w:r>
    </w:p>
    <w:p>
      <w:pPr>
        <w:pStyle w:val="Heading2"/>
        <w:spacing w:after="160" w:before="120"/>
      </w:pPr>
      <w:r>
        <w:rPr>
          <w:rFonts w:ascii="Arial" w:cs="Arial" w:eastAsia="Arial" w:hAnsi="Arial"/>
          <w:b/>
          <w:bCs/>
          <w:color w:val="1A1210"/>
          <w:sz w:val="28"/>
          <w:szCs w:val="28"/>
        </w:rPr>
        <w:t xml:space="preserve">Tier 3 Escalation Response Protocol</w:t>
      </w:r>
    </w:p>
    <w:p>
      <w:pPr>
        <w:spacing w:after="120" w:before="0"/>
      </w:pPr>
      <w:r>
        <w:rPr>
          <w:rFonts w:ascii="Arial" w:cs="Arial" w:eastAsia="Arial" w:hAnsi="Arial"/>
          <w:i w:val="false"/>
          <w:iCs w:val="false"/>
          <w:color w:val="7A6E66"/>
          <w:sz w:val="22"/>
          <w:szCs w:val="22"/>
        </w:rPr>
        <w:t xml:space="preserve">Tier 3 is the most consequential moment in fintech CS. Here's the exact sequence.</w:t>
      </w:r>
    </w:p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18"/>
                <w:szCs w:val="18"/>
              </w:rPr>
              <w:t xml:space="preserve">T+0 min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Acknowledge &amp; Contain</w:t>
            </w:r>
          </w:p>
          <w:p>
            <w:r>
              <w:rPr>
                <w:rFonts w:ascii="Arial" w:cs="Arial" w:eastAsia="Arial" w:hAnsi="Arial"/>
                <w:color w:val="7A6E66"/>
                <w:sz w:val="21"/>
                <w:szCs w:val="21"/>
              </w:rPr>
              <w:t xml:space="preserve">Confirm the issue scope. Send immediate acknowledgment to customer — no root cause yet, just confirmation you're engaged. Open internal bridge channel (Slack or phone). Designate a single CSM as the customer-facing point of contact for duration.</w:t>
            </w:r>
          </w:p>
        </w:tc>
      </w:tr>
    </w:tbl>
    <w:p>
      <w:pPr>
        <w:pBdr>
          <w:bottom w:val="single" w:color="DDD7CC" w:sz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18"/>
                <w:szCs w:val="18"/>
              </w:rPr>
              <w:t xml:space="preserve">T+15–30 min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Bridge Activation</w:t>
            </w:r>
          </w:p>
          <w:p>
            <w:r>
              <w:rPr>
                <w:rFonts w:ascii="Arial" w:cs="Arial" w:eastAsia="Arial" w:hAnsi="Arial"/>
                <w:color w:val="7A6E66"/>
                <w:sz w:val="21"/>
                <w:szCs w:val="21"/>
              </w:rPr>
              <w:t xml:space="preserve">Loop in Engineering lead, CS Manager, and — if financial exposure is confirmed — Legal or Compliance. Avoid large groups; keep bridge tight. Assign roles: investigator, communicator, scribe.</w:t>
            </w:r>
          </w:p>
        </w:tc>
      </w:tr>
    </w:tbl>
    <w:p>
      <w:pPr>
        <w:pBdr>
          <w:bottom w:val="single" w:color="DDD7CC" w:sz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18"/>
                <w:szCs w:val="18"/>
              </w:rPr>
              <w:t xml:space="preserve">T+30–60 min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Investigation &amp; Data Isolation</w:t>
            </w:r>
          </w:p>
          <w:p>
            <w:r>
              <w:rPr>
                <w:rFonts w:ascii="Arial" w:cs="Arial" w:eastAsia="Arial" w:hAnsi="Arial"/>
                <w:color w:val="7A6E66"/>
                <w:sz w:val="21"/>
                <w:szCs w:val="21"/>
              </w:rPr>
              <w:t xml:space="preserve">Engineering identifies blast radius and isolates affected records. CSM does not relay raw technical findings to customer. All external communication goes through a reviewed summary. If data integrity is in question, no further transactions in affected account until cleared.</w:t>
            </w:r>
          </w:p>
        </w:tc>
      </w:tr>
    </w:tbl>
    <w:p>
      <w:pPr>
        <w:pBdr>
          <w:bottom w:val="single" w:color="DDD7CC" w:sz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18"/>
                <w:szCs w:val="18"/>
              </w:rPr>
              <w:t xml:space="preserve">T+60 min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Structured Customer Update</w:t>
            </w:r>
          </w:p>
          <w:p>
            <w:r>
              <w:rPr>
                <w:rFonts w:ascii="Arial" w:cs="Arial" w:eastAsia="Arial" w:hAnsi="Arial"/>
                <w:color w:val="7A6E66"/>
                <w:sz w:val="21"/>
                <w:szCs w:val="21"/>
              </w:rPr>
              <w:t xml:space="preserve">Provide a status update using structured format: (1) what we know, (2) what we're doing, (3) next update ETA. Avoid speculation. If the customer presses for root cause, hold the line: "We want to give you accurate information, not fast information."</w:t>
            </w:r>
          </w:p>
        </w:tc>
      </w:tr>
    </w:tbl>
    <w:p>
      <w:pPr>
        <w:pBdr>
          <w:bottom w:val="single" w:color="DDD7CC" w:sz="1"/>
        </w:pBd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18"/>
                <w:szCs w:val="18"/>
              </w:rPr>
              <w:t xml:space="preserve">Post-resolution</w:t>
            </w:r>
          </w:p>
        </w:tc>
        <w:tc>
          <w:tcPr>
            <w:tcW w:type="dxa" w:w="8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Incident Documentation &amp; RCA</w:t>
            </w:r>
          </w:p>
          <w:p>
            <w:r>
              <w:rPr>
                <w:rFonts w:ascii="Arial" w:cs="Arial" w:eastAsia="Arial" w:hAnsi="Arial"/>
                <w:color w:val="7A6E66"/>
                <w:sz w:val="21"/>
                <w:szCs w:val="21"/>
              </w:rPr>
              <w:t xml:space="preserve">Deliver a written root cause analysis within 5 business days. Include: timeline, contributing factors, remediation steps, and what changed to prevent recurrence. For SOX-relevant incidents, retain documentation per audit retention policy (typically 7 years).</w:t>
            </w:r>
          </w:p>
        </w:tc>
      </w:tr>
    </w:tbl>
    <w:p>
      <w:pPr>
        <w:pBdr>
          <w:bottom w:val="single" w:color="DDD7CC" w:sz="1"/>
        </w:pBdr>
        <w:spacing w:after="160" w:before="0"/>
      </w:pPr>
    </w:p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901A" w:sz="12"/>
              <w:left w:val="single" w:color="DDD7CC" w:sz="1"/>
              <w:bottom w:val="single" w:color="DDD7CC" w:sz="1"/>
              <w:right w:val="single" w:color="DDD7CC" w:sz="1"/>
            </w:tcBorders>
            <w:shd w:fill="FFFBF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1210"/>
                <w:sz w:val="24"/>
                <w:szCs w:val="24"/>
              </w:rPr>
              <w:t xml:space="preserve">The "Fast vs. Accurate" Standard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i w:val="false"/>
                <w:iCs w:val="false"/>
                <w:color w:val="7A6E66"/>
                <w:sz w:val="22"/>
                <w:szCs w:val="22"/>
              </w:rPr>
              <w:t xml:space="preserve">In fintech escalations, the instinct to reassure quickly is a liability. Customers in payment-critical situations need calibrated confidence, not optimism. Holding the line on accuracy — even under pressure from a panicked AP director — is itself a CS competency. Frame it as protection, not delay.</w:t>
            </w:r>
          </w:p>
        </w:tc>
      </w:tr>
    </w:tbl>
    <w:p>
      <w:pPr>
        <w:spacing w:after="160" w:before="0"/>
      </w:pPr>
    </w:p>
    <w:p>
      <w:pPr>
        <w:spacing w:after="80" w:before="360"/>
      </w:pPr>
      <w:r>
        <w:rPr>
          <w:rFonts w:ascii="Arial" w:cs="Arial" w:eastAsia="Arial" w:hAnsi="Arial"/>
          <w:b/>
          <w:bCs/>
          <w:color w:val="4A6FA5"/>
          <w:spacing w:val="80"/>
          <w:sz w:val="18"/>
          <w:szCs w:val="18"/>
        </w:rPr>
        <w:t xml:space="preserve">05 — OUTCOMES</w:t>
      </w:r>
    </w:p>
    <w:p>
      <w:pPr>
        <w:pStyle w:val="Heading2"/>
        <w:spacing w:after="160" w:before="120"/>
      </w:pPr>
      <w:r>
        <w:rPr>
          <w:rFonts w:ascii="Arial" w:cs="Arial" w:eastAsia="Arial" w:hAnsi="Arial"/>
          <w:b/>
          <w:bCs/>
          <w:color w:val="1A1210"/>
          <w:sz w:val="28"/>
          <w:szCs w:val="28"/>
        </w:rPr>
        <w:t xml:space="preserve">Framework Impact</w:t>
      </w:r>
    </w:p>
    <w:p>
      <w:pPr>
        <w:spacing w:after="120" w:before="0"/>
      </w:pPr>
      <w:r>
        <w:rPr>
          <w:rFonts w:ascii="Arial" w:cs="Arial" w:eastAsia="Arial" w:hAnsi="Arial"/>
          <w:i w:val="false"/>
          <w:iCs w:val="false"/>
          <w:color w:val="7A6E66"/>
          <w:sz w:val="22"/>
          <w:szCs w:val="22"/>
        </w:rPr>
        <w:t xml:space="preserve">Benchmarks from environments where this tiering model was applied.</w:t>
      </w:r>
    </w:p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shd w:fill="FFFFFF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48"/>
                <w:szCs w:val="48"/>
              </w:rPr>
              <w:t xml:space="preserve">62%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7A6E66"/>
                <w:spacing w:val="60"/>
                <w:sz w:val="16"/>
                <w:szCs w:val="16"/>
              </w:rPr>
              <w:t xml:space="preserve">REDUCTION IN T3 ESCALATIONS REACHING EXECUTIVE SPONSOR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shd w:fill="FFFFFF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48"/>
                <w:szCs w:val="48"/>
              </w:rPr>
              <w:t xml:space="preserve">28 min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7A6E66"/>
                <w:spacing w:val="60"/>
                <w:sz w:val="16"/>
                <w:szCs w:val="16"/>
              </w:rPr>
              <w:t xml:space="preserve">AVG. BRIDGE-TO-FIRST-UPDATE TIME (DOWN FROM 2.5 HRS)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shd w:fill="FFFFFF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48"/>
                <w:szCs w:val="48"/>
              </w:rPr>
              <w:t xml:space="preserve">100%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7A6E66"/>
                <w:spacing w:val="60"/>
                <w:sz w:val="16"/>
                <w:szCs w:val="16"/>
              </w:rPr>
              <w:t xml:space="preserve">RCA DELIVERY RATE WITHIN SLA WINDOW ON T3+ INCIDENTS</w:t>
            </w:r>
          </w:p>
        </w:tc>
        <w:tc>
          <w:tcPr>
            <w:tcW w:type="dxa" w:w="2340"/>
            <w:tcBorders>
              <w:top w:val="single" w:color="DDD7CC" w:sz="1"/>
              <w:left w:val="single" w:color="DDD7CC" w:sz="1"/>
              <w:bottom w:val="single" w:color="DDD7CC" w:sz="1"/>
              <w:right w:val="single" w:color="DDD7CC" w:sz="1"/>
            </w:tcBorders>
            <w:shd w:fill="FFFFFF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C9901A"/>
                <w:sz w:val="48"/>
                <w:szCs w:val="48"/>
              </w:rPr>
              <w:t xml:space="preserve">0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7A6E66"/>
                <w:spacing w:val="60"/>
                <w:sz w:val="16"/>
                <w:szCs w:val="16"/>
              </w:rPr>
              <w:t xml:space="preserve">COMPLIANCE FINDINGS ATTRIBUTED TO CS COMMUNICATION GAPS POST-IMPLEMENTATION</w:t>
            </w:r>
          </w:p>
        </w:tc>
      </w:tr>
    </w:tbl>
    <w:p>
      <w:pPr>
        <w:spacing w:after="160" w:before="0"/>
      </w:pPr>
    </w:p>
    <w:p>
      <w:pPr>
        <w:pBdr>
          <w:bottom w:val="single" w:color="DDD7CC" w:sz="1"/>
        </w:pBdr>
        <w:spacing w:after="80" w:before="80"/>
      </w:pPr>
    </w:p>
    <w:p>
      <w:pPr>
        <w:spacing w:after="0" w:before="160"/>
      </w:pPr>
      <w:r>
        <w:rPr>
          <w:rFonts w:ascii="Arial" w:cs="Arial" w:eastAsia="Arial" w:hAnsi="Arial"/>
          <w:color w:val="7A6E66"/>
          <w:sz w:val="18"/>
          <w:szCs w:val="18"/>
        </w:rPr>
        <w:t xml:space="preserve">Tags: </w:t>
      </w:r>
      <w:r>
        <w:rPr>
          <w:rFonts w:ascii="Arial" w:cs="Arial" w:eastAsia="Arial" w:hAnsi="Arial"/>
          <w:color w:val="7A6E66"/>
          <w:sz w:val="18"/>
          <w:szCs w:val="18"/>
        </w:rPr>
        <w:t xml:space="preserve">Escalation Management  ·  Fintech CS  ·  AP/AR  ·  Payment Processing  ·  PCI-DSS  ·  SOX Compliance  ·  NACHA  ·  Support Tiering  ·  Incident Response  ·  Risk Management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A6E66"/>
        <w:sz w:val="18"/>
        <w:szCs w:val="18"/>
      </w:rPr>
      <w:t xml:space="preserve">Sonya Freeney  |  csplaybooks.com  |  </w:t>
    </w:r>
    <w:r>
      <w:rPr>
        <w:rFonts w:ascii="Arial" w:cs="Arial" w:eastAsia="Arial" w:hAnsi="Arial"/>
        <w:color w:val="7A6E66"/>
        <w:sz w:val="18"/>
        <w:szCs w:val="18"/>
      </w:rPr>
      <w:t xml:space="preserve">Page </w:t>
    </w:r>
    <w:r>
      <w:rPr>
        <w:rFonts w:ascii="Arial" w:cs="Arial" w:eastAsia="Arial" w:hAnsi="Arial"/>
        <w:color w:val="7A6E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40" w:hanging="360"/>
      </w:pPr>
      <w:rPr>
        <w:rFonts w:ascii="Arial" w:cs="Arial" w:eastAsia="Arial" w:hAnsi="Arial"/>
        <w:color w:val="7A6E6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A1210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360"/>
      <w:outlineLvl w:val="1"/>
    </w:pPr>
    <w:rPr>
      <w:rFonts w:ascii="Arial" w:cs="Arial" w:eastAsia="Arial" w:hAnsi="Arial"/>
      <w:b/>
      <w:bCs/>
      <w:color w:val="1A121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2026-04-16T02:05:55.380Z</dcterms:created>
  <dcterms:modified xsi:type="dcterms:W3CDTF">2026-04-16T02:05:55.381Z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