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/>
      </w:pPr>
      <w:r>
        <w:rPr>
          <w:rFonts w:ascii="Arial" w:cs="Arial" w:eastAsia="Arial" w:hAnsi="Arial"/>
          <w:b/>
          <w:bCs/>
          <w:color w:val="4A6FA5"/>
          <w:sz w:val="52"/>
          <w:szCs w:val="52"/>
        </w:rPr>
        <w:t xml:space="preserve">30-60-90 DAY PLAN</w:t>
      </w:r>
    </w:p>
    <w:p>
      <w:pPr>
        <w:spacing w:after="60" w:before="0"/>
      </w:pPr>
      <w:r>
        <w:rPr>
          <w:rFonts w:ascii="Arial" w:cs="Arial" w:eastAsia="Arial" w:hAnsi="Arial"/>
          <w:color w:val="1A1210"/>
          <w:sz w:val="30"/>
          <w:szCs w:val="30"/>
        </w:rPr>
        <w:t xml:space="preserve">Platform Success Manager</w:t>
      </w:r>
    </w:p>
    <w:p>
      <w:pPr>
        <w:spacing w:after="320" w:before="0"/>
      </w:pPr>
      <w:r>
        <w:rPr>
          <w:rFonts w:ascii="Arial" w:cs="Arial" w:eastAsia="Arial" w:hAnsi="Arial"/>
          <w:color w:val="5A4A42"/>
          <w:sz w:val="22"/>
          <w:szCs w:val="22"/>
        </w:rPr>
        <w:t xml:space="preserve">B2B SaaS  ·  Utility &amp; Energy Tech  ·  AI-Powered Platforms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EE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4A42"/>
                <w:sz w:val="20"/>
                <w:szCs w:val="20"/>
              </w:rPr>
              <w:t xml:space="preserve">Name</w:t>
            </w:r>
          </w:p>
        </w:tc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EE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4A42"/>
                <w:sz w:val="20"/>
                <w:szCs w:val="20"/>
              </w:rPr>
              <w:t xml:space="preserve">Company / Role</w:t>
            </w:r>
          </w:p>
        </w:tc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EE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4A42"/>
                <w:sz w:val="20"/>
                <w:szCs w:val="20"/>
              </w:rPr>
              <w:t xml:space="preserve">Start Date</w:t>
            </w:r>
          </w:p>
        </w:tc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EEE8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A4A42"/>
                <w:sz w:val="20"/>
                <w:szCs w:val="20"/>
              </w:rPr>
              <w:t xml:space="preserve">Manager / Hiring Team</w:t>
            </w:r>
          </w:p>
        </w:tc>
        <w:tc>
          <w:tcPr>
            <w:tcW w:type="dxa" w:w="468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3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Days</w:t>
            </w: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br/>
              <w:t xml:space="preserve">1–30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3C52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Foundation &amp; Discovery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BBCC"/>
                <w:sz w:val="20"/>
                <w:szCs w:val="20"/>
              </w:rPr>
              <w:t xml:space="preserve">Learn the platform, learn the clients, learn the internal teams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Weeks 1–2: Platform &amp; Internal Immersion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PLATFORM MAPPING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Where do clients see ROI fastest? Where does adoption stall?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What integrations are most complex, and where do implementations break down?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INTERNAL SHADOWING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Sit on client calls, implementation reviews, and escalation calls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Interview implementation, support, sales engineering, and product teams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Key question: what do they wish the PSMs they hand accounts to already knew?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PRODUCT &amp; ROADMAP REVIEW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Where is the product going in the next 12 months?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What stories are already resonating with clients in your sector?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2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Weeks 3–4: Client Portfolio Analysis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UTILIZATION AUDIT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Are clients using 30% or 80% of available capabilities?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Underutilization is always the first signal of risk or dormant opportunity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VOLUME &amp; TREND ANALYSIS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What are the seasonal patterns for this client base?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What does 'normal' look like — and what are the early warning signs of stress?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STAKEHOLDER MAPPING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Who are the decision-makers? Who are the influencers?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Who is a champion, and who is quietly skeptical?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COMPETITIVE CONTEXT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Which accounts are evaluating other vendors?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Who has recently renewed and feels locked in vs. locked out?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C9901A"/>
                <w:spacing w:val="60"/>
                <w:sz w:val="16"/>
                <w:szCs w:val="16"/>
              </w:rPr>
              <w:t xml:space="preserve">DAY 30 DELIVERABLE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A4A42"/>
                <w:sz w:val="22"/>
                <w:szCs w:val="22"/>
              </w:rPr>
              <w:t xml:space="preserve">Risk/opportunity matrix — at least 3 accounts flagged: one at risk, one expansion-ready, one quick win</w:t>
            </w:r>
          </w:p>
          <w:p>
            <w:pPr>
              <w:spacing w:after="200" w:before="0"/>
            </w:pPr>
            <w:r>
              <w:t xml:space="preserve"/>
            </w:r>
          </w:p>
          <w:p>
            <w:pPr>
              <w:spacing w:after="200" w:before="0"/>
            </w:pPr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Milestone Tracker — Days 1–30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rPr>
          <w:tblHeader/>
        </w:trP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 / Milestone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Platform &amp; product immersion complete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Internal stakeholder interviews done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Client portfolio utilization audit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Risk/opportunity matrix drafted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</w:tr>
    </w:tbl>
    <w:p>
      <w:pPr>
        <w:spacing w:after="4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Days</w:t>
            </w: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br/>
              <w:t xml:space="preserve">31–60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3C52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Strategic Engagement &amp; Early Wins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BBCC"/>
                <w:sz w:val="20"/>
                <w:szCs w:val="20"/>
              </w:rPr>
              <w:t xml:space="preserve">Shift from listening to leading — identify and act on what month one revealed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Client-Facing Priorities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STRATEGIC BUSINESS REVIEWS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Schedule with your top 3 accounts — not status calls, strategy sessions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Agenda: their business goals first, platform performance second, roadmap alignment third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PLATFORM OPTIMIZATION WORKSHOP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Build a working session around the highest utilization gap from month one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Goal: more value from what they already own, no new spend required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LIGHTHOUSE CLIENT IDENTIFICATION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Who has the most compelling ROI story and would be willing to share it?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This is a 6–12 month investment — it starts now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2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Internal Collaboration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CROSS-FUNCTIONAL SYNCS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Establish monthly cadence with product, support, sales, professional services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Purpose: exchange intelligence, not just report status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ESCALATION REFLEX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Loop in delivery and support before situations become emergencies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Over-communicate early, under-escalate late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C9901A"/>
                <w:spacing w:val="60"/>
                <w:sz w:val="16"/>
                <w:szCs w:val="16"/>
              </w:rPr>
              <w:t xml:space="preserve">EARLY WIN TARGET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A4A42"/>
                <w:sz w:val="22"/>
                <w:szCs w:val="22"/>
              </w:rPr>
              <w:t xml:space="preserve">One documented expansion opportunity OR one at-risk churn prevented. Not to hit a number — to prove the month one foundation is paying off.</w:t>
            </w:r>
          </w:p>
          <w:p>
            <w:pPr>
              <w:spacing w:after="200" w:before="0"/>
            </w:pPr>
            <w:r>
              <w:t xml:space="preserve"/>
            </w:r>
          </w:p>
          <w:p>
            <w:pPr>
              <w:spacing w:after="200" w:before="0"/>
            </w:pPr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Milestone Tracker — Days 31–60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rPr>
          <w:tblHeader/>
        </w:trP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 / Milestone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Strategic reviews with top 3 accounts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Optimization workshop delivered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 + Client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Lighthouse client identified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Cross-functional sync cadence live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Early win documented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</w:tr>
    </w:tbl>
    <w:p>
      <w:pPr>
        <w:spacing w:after="4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Days</w:t>
            </w: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br/>
              <w:t xml:space="preserve">61–90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3C52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Scale &amp; Innovation Leadership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BBCC"/>
                <w:sz w:val="20"/>
                <w:szCs w:val="20"/>
              </w:rPr>
              <w:t xml:space="preserve">Connect platform capabilities to where clients need to be in 3–5 years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Strategic Account Development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LONG-HORIZON ACCOUNT PLAN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Build a 12–24 month roadmap for at least one strategic account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Tie platform capabilities to stated infrastructure or business goals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Show what the platform can do in year two that they aren't thinking about yet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FUTURE-STATE FRAMEWORK (REGULATED INDUSTRIES)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Connect platform capabilities to sector pressures: grid modernization, AI adoption, regulatory scrutiny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Clients in utilities, energy, and water need a PSM who understands both sides of the equation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QBR FORMAT REBUILD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Opens with client goals, not metrics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Demonstrates platform contribution toward those goals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Surfaces one insight they didn't have before the meeting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Closes with a clear mutual action plan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2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Thought Leadership &amp; Visibility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INDUSTRY PRESENCE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Identify one conference or event opportunity — submit a speaking proposal or co-present with a client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C9901A"/>
          <w:spacing w:val="60"/>
          <w:sz w:val="18"/>
          <w:szCs w:val="18"/>
        </w:rPr>
        <w:t xml:space="preserve">INTERNAL KNOWLEDGE ASSET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Contribute one reusable resource: a playbook, an integration guide, a framework for a recurring conversation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Something the next PSM hired can use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/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C9901A"/>
                <w:spacing w:val="60"/>
                <w:sz w:val="16"/>
                <w:szCs w:val="16"/>
              </w:rPr>
              <w:t xml:space="preserve">DAY 90 MEASUREMENT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A4A42"/>
                <w:sz w:val="22"/>
                <w:szCs w:val="22"/>
              </w:rPr>
              <w:t xml:space="preserve">Net retention trend · Strategic reviews conducted · Expansion pipeline documented · At least one save or expansion win · Measurable shift in client satisfaction or adoption metrics</w:t>
            </w:r>
          </w:p>
          <w:p>
            <w:pPr>
              <w:spacing w:after="200" w:before="0"/>
            </w:pPr>
            <w:r>
              <w:t xml:space="preserve"/>
            </w:r>
          </w:p>
          <w:p>
            <w:pPr>
              <w:spacing w:after="200" w:before="0"/>
            </w:pPr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Milestone Tracker — Days 61–90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rPr>
          <w:tblHeader/>
        </w:trP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 / Milestone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4A6FA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Long-horizon plan for 1 strategic account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Future-state framework drafted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QBR template rebuilt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Industry event opportunity identified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Internal knowledge asset delivered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PSM</w:t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dxa" w:w="312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8E0D0" w:sz="1"/>
              <w:left w:val="single" w:color="E8E0D0" w:sz="1"/>
              <w:bottom w:val="single" w:color="E8E0D0" w:sz="1"/>
              <w:right w:val="single" w:color="E8E0D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A4A42"/>
                <w:sz w:val="20"/>
                <w:szCs w:val="20"/>
              </w:rPr>
              <w:t xml:space="preserve"/>
            </w:r>
          </w:p>
        </w:tc>
      </w:tr>
    </w:tbl>
    <w:p>
      <w:pPr>
        <w:spacing w:after="400" w:before="0"/>
      </w:pPr>
      <w:r>
        <w:t xml:space="preserve"/>
      </w:r>
    </w:p>
    <w:p>
      <w:pPr>
        <w:pBdr>
          <w:bottom w:val="single" w:color="C9901A" w:sz="6" w:space="4"/>
        </w:pBdr>
        <w:spacing w:after="120" w:before="400"/>
      </w:pPr>
      <w:r>
        <w:rPr>
          <w:rFonts w:ascii="Arial" w:cs="Arial" w:eastAsia="Arial" w:hAnsi="Arial"/>
          <w:b/>
          <w:bCs/>
          <w:color w:val="4A6FA5"/>
          <w:sz w:val="36"/>
          <w:szCs w:val="36"/>
        </w:rPr>
        <w:t xml:space="preserve">The Philosophy Underneath This Plan</w:t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Proactive Partnership</w:t>
      </w:r>
    </w:p>
    <w:p>
      <w:pPr>
        <w:spacing w:after="120" w:before="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I don't wait for health scores to turn red. In highly regulated industries — utilities, energy, water — the gap between 'things seem fine' and 'this is an emergency' is smaller than in most sectors. The value of a PSM in these environments is early signal detection, not crisis response.</w:t>
      </w:r>
    </w:p>
    <w:p>
      <w:pPr>
        <w:spacing w:after="8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Outcome-Driven Enablement</w:t>
      </w:r>
    </w:p>
    <w:p>
      <w:pPr>
        <w:spacing w:after="120" w:before="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I don't teach clients how to use features. I help them achieve business outcomes. A payment platform isn't 'a payment platform' — it's a tool to reduce days sales outstanding, increase auto-pay adoption, and eliminate call center volume. Features are means, not ends.</w:t>
      </w:r>
    </w:p>
    <w:p>
      <w:pPr>
        <w:spacing w:after="80" w:before="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1A1210"/>
          <w:sz w:val="26"/>
          <w:szCs w:val="26"/>
        </w:rPr>
        <w:t xml:space="preserve">Trust Through Transparency</w:t>
      </w:r>
    </w:p>
    <w:p>
      <w:pPr>
        <w:spacing w:after="120" w:before="0"/>
      </w:pPr>
      <w:r>
        <w:rPr>
          <w:rFonts w:ascii="Arial" w:cs="Arial" w:eastAsia="Arial" w:hAnsi="Arial"/>
          <w:color w:val="1A1210"/>
          <w:sz w:val="22"/>
          <w:szCs w:val="22"/>
        </w:rPr>
        <w:t xml:space="preserve">Clients in regulated industries deploy platforms they'll eventually need to explain to regulators, auditors, and boards. They need a PSM who understands that 'defensible' matters as much as 'effective.' I know what it's like to sit on the client side of that equation — which makes me a better partner when they're navigating it.</w:t>
      </w:r>
    </w:p>
    <w:p>
      <w:pPr>
        <w:spacing w:after="400" w:before="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5A4A42"/>
          <w:sz w:val="18"/>
          <w:szCs w:val="18"/>
        </w:rPr>
        <w:t xml:space="preserve">csplaybooks.com  ·  Built by a 20-year CS practitioner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E0D0" w:sz="2" w:space="1"/>
      </w:pBdr>
      <w:spacing w:after="80" w:before="0"/>
    </w:pPr>
    <w:r>
      <w:t xml:space="preserve"/>
    </w:r>
  </w:p>
  <w:p>
    <w:r>
      <w:rPr>
        <w:rFonts w:ascii="Arial" w:cs="Arial" w:eastAsia="Arial" w:hAnsi="Arial"/>
        <w:color w:val="5A4A42"/>
        <w:sz w:val="18"/>
        <w:szCs w:val="18"/>
      </w:rPr>
      <w:t xml:space="preserve">Sonya Freeney  ·  csplaybooks.com  ·  Page </w:t>
    </w:r>
    <w:r>
      <w:rPr>
        <w:rFonts w:ascii="Arial" w:cs="Arial" w:eastAsia="Arial" w:hAnsi="Arial"/>
        <w:color w:val="5A4A4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480"/>
      <w:gridCol w:w="3600"/>
    </w:tblGrid>
    <w:tr>
      <w:tc>
        <w:tcPr>
          <w:tcW w:type="dxa" w:w="64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1A1210"/>
              <w:sz w:val="22"/>
              <w:szCs w:val="22"/>
            </w:rPr>
            <w:t xml:space="preserve">30-60-90 Day Plan</w:t>
          </w:r>
          <w:r>
            <w:rPr>
              <w:rFonts w:ascii="Arial" w:cs="Arial" w:eastAsia="Arial" w:hAnsi="Arial"/>
              <w:color w:val="5A4A42"/>
              <w:sz w:val="22"/>
              <w:szCs w:val="22"/>
            </w:rPr>
            <w:t xml:space="preserve">  ·  Platform Success Manager</w:t>
          </w:r>
        </w:p>
      </w:tc>
      <w:tc>
        <w:tcPr>
          <w:tcW w:type="dxa" w:w="36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C9901A"/>
              <w:sz w:val="20"/>
              <w:szCs w:val="20"/>
            </w:rPr>
            <w:t xml:space="preserve">csplaybooks.com</w:t>
          </w:r>
        </w:p>
      </w:tc>
    </w:tr>
  </w:tbl>
  <w:p>
    <w:pPr>
      <w:pBdr>
        <w:bottom w:val="single" w:color="C9901A" w:sz="4" w:space="1"/>
      </w:pBdr>
      <w:spacing w:after="0" w:before="8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21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2026-05-27T20:13:17.453Z</dcterms:created>
  <dcterms:modified xsi:type="dcterms:W3CDTF">2026-05-27T20:13:17.453Z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